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8AA" w:rsidRDefault="006F78AA" w:rsidP="006F78AA">
      <w:pPr>
        <w:jc w:val="center"/>
        <w:rPr>
          <w:rFonts w:ascii="Times New Roman" w:hAnsi="Times New Roman" w:cs="Times New Roman"/>
          <w:sz w:val="28"/>
          <w:szCs w:val="28"/>
        </w:rPr>
      </w:pPr>
      <w:r w:rsidRPr="006F78AA">
        <w:rPr>
          <w:rFonts w:ascii="Times New Roman" w:hAnsi="Times New Roman" w:cs="Times New Roman"/>
          <w:sz w:val="28"/>
          <w:szCs w:val="28"/>
        </w:rPr>
        <w:t>Предложения и замечания, поступившие по результатам публичных консультаций проекта закона «Об ограничениях в сфере розничной продажи безалкогольных тонизирующих напитков в Ханты-Мансийском автономном округе – Югре»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3000"/>
        <w:gridCol w:w="6098"/>
        <w:gridCol w:w="5894"/>
      </w:tblGrid>
      <w:tr w:rsidR="0039669A" w:rsidTr="0039669A">
        <w:tc>
          <w:tcPr>
            <w:tcW w:w="14992" w:type="dxa"/>
            <w:gridSpan w:val="3"/>
          </w:tcPr>
          <w:p w:rsidR="0039669A" w:rsidRPr="002008D4" w:rsidRDefault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39669A" w:rsidTr="00E379B0">
        <w:tc>
          <w:tcPr>
            <w:tcW w:w="3000" w:type="dxa"/>
          </w:tcPr>
          <w:p w:rsidR="0039669A" w:rsidRDefault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69A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(sycheva.souznapitki@gmail.com)</w:t>
            </w:r>
          </w:p>
        </w:tc>
        <w:tc>
          <w:tcPr>
            <w:tcW w:w="6098" w:type="dxa"/>
          </w:tcPr>
          <w:p w:rsidR="0039669A" w:rsidRPr="0039669A" w:rsidRDefault="0039669A" w:rsidP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69A">
              <w:rPr>
                <w:rFonts w:ascii="Times New Roman" w:hAnsi="Times New Roman" w:cs="Times New Roman"/>
                <w:sz w:val="20"/>
                <w:szCs w:val="20"/>
              </w:rPr>
              <w:t>Правовое регулирование по мысли законодателя должно ограничить потребление безалкогольных тонизирующих напитков (далее БТН) несовершеннолетними гражданами, что необоснованно в связи с недоказанностью вреда.</w:t>
            </w:r>
          </w:p>
          <w:p w:rsidR="0039669A" w:rsidRPr="0039669A" w:rsidRDefault="0039669A" w:rsidP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69A">
              <w:rPr>
                <w:rFonts w:ascii="Times New Roman" w:hAnsi="Times New Roman" w:cs="Times New Roman"/>
                <w:sz w:val="20"/>
                <w:szCs w:val="20"/>
              </w:rPr>
              <w:t>На сегодняшний день не существует ни одного исследования, подтверждающего наличие в составе БТН небезопасных для потребления ингредиентов. Необходимо отметить, что безопасность БТН и их ингредиентов доказана многочисленными исследованиями, проведенными как в России, так и во многих странах мира. Выводы научных исследований, проведенных уполномоченными научными организациями в Российской Федерации, а также в зарубежных странах, говорят о том, что «риски для здоровья человека от употребления таких напитков не превышают риски от потребления кофе», поэтому нет никаких научных оснований для установления каких-либо запретов и ограничений в отношении таких напитков. Аналитическим центром при Правительстве Российской Федерации 22.06.2021 проведены публичные общественные обсуждения результатов исследования «Оценка социально-экономических и бюджетных эффектов от введения акцизных сборов на напитки с добавлением сахара и сахарозаменителей в России до 2024 года». В данное исследование вошли и результаты исследования по БТН.</w:t>
            </w:r>
          </w:p>
          <w:p w:rsidR="0039669A" w:rsidRDefault="0039669A" w:rsidP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69A">
              <w:rPr>
                <w:rFonts w:ascii="Times New Roman" w:hAnsi="Times New Roman" w:cs="Times New Roman"/>
                <w:sz w:val="20"/>
                <w:szCs w:val="20"/>
              </w:rPr>
              <w:t>Введение региональных ограничений считаем нецелесообразным. Проблема не является актуальной.</w:t>
            </w:r>
          </w:p>
        </w:tc>
        <w:tc>
          <w:tcPr>
            <w:tcW w:w="5894" w:type="dxa"/>
          </w:tcPr>
          <w:p w:rsidR="0039669A" w:rsidRDefault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Tr="00E379B0">
        <w:tc>
          <w:tcPr>
            <w:tcW w:w="14992" w:type="dxa"/>
            <w:gridSpan w:val="3"/>
          </w:tcPr>
          <w:p w:rsidR="00E379B0" w:rsidRPr="002008D4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</w:t>
            </w:r>
          </w:p>
        </w:tc>
      </w:tr>
      <w:tr w:rsidR="00E379B0" w:rsidTr="00E379B0">
        <w:tc>
          <w:tcPr>
            <w:tcW w:w="3000" w:type="dxa"/>
          </w:tcPr>
          <w:p w:rsidR="00E379B0" w:rsidRPr="0039669A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(sycheva.souznapitki@gmail.com)</w:t>
            </w:r>
          </w:p>
        </w:tc>
        <w:tc>
          <w:tcPr>
            <w:tcW w:w="6098" w:type="dxa"/>
          </w:tcPr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Действующее на территории Российской Федерации законодательство - как Евразийского Экономического Союза, так и Российской Федерации - регулирует все аспекты оборота безалкогольных тонизирующих напитков. В частности, Технический регламент Таможенного союза 021/2011 «О безопасности пищевой продукции», утвержденный Решением Комиссии Таможенного Союза от 9 декабря 2011 г. № 881:</w:t>
            </w:r>
          </w:p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а) определил максимальный верхний уровень содержания кофеина в безалкогольных тонизирующих (энергетических) напитках (400 мг/л);</w:t>
            </w:r>
          </w:p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 xml:space="preserve">б) ограничил максимальное количество тонизирующих </w:t>
            </w:r>
            <w:r w:rsidRPr="00E379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ингредиентов в составе таких напитков - не более двух;</w:t>
            </w:r>
          </w:p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в) установил требования к источникам кофеина, который разрешается использовать в таких напитках, и ограничил их число четырьмя известными и хорошо изученными.</w:t>
            </w:r>
          </w:p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Технический регламент Таможенного Союза 022/2011 «О пищевой продукции в части ее маркировки» установил обязательное наличие следующей информации на упаковке любых безалкогольных напитков, содержащих кофеин в количестве, превышающем 150 мг/л, и (или) лекарственные растения или их экстракты: «Не рекомендуется употребление детьми в возрасте до 18 лет, при беременности и кормлении грудью, а также лицами, страдающими повышенной нервной возбудимостью, бессонницей, артериальной гипертензией».</w:t>
            </w:r>
          </w:p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Необходимо в этой связи отметить, что законодательство Евразийского Экономического Союза, базируясь на научных данных, совершенно справедливо не выделяет тонизирующие (энергетические) напитки в отдельную группу с точки зрения регулирования обращения таких продуктов, а предъявляет дополнительные требования к маркировке любых напитков, содержащих в повышенных количествах кофеин или экстракты лекарственных растений (перечень таких напитков достаточно широк и включает, например, кофейные напитки).</w:t>
            </w:r>
          </w:p>
          <w:p w:rsidR="00E379B0" w:rsidRPr="0039669A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Основываясь на вышеизложенное видно, что проблематика ситуации отсутствует.</w:t>
            </w:r>
          </w:p>
        </w:tc>
        <w:tc>
          <w:tcPr>
            <w:tcW w:w="5894" w:type="dxa"/>
          </w:tcPr>
          <w:p w:rsidR="00E379B0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Tr="00E379B0">
        <w:tc>
          <w:tcPr>
            <w:tcW w:w="14992" w:type="dxa"/>
            <w:gridSpan w:val="3"/>
          </w:tcPr>
          <w:p w:rsidR="00E379B0" w:rsidRPr="002008D4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 xml:space="preserve">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затратны</w:t>
            </w:r>
            <w:proofErr w:type="spellEnd"/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 xml:space="preserve"> и (или) более эффективны?</w:t>
            </w:r>
          </w:p>
        </w:tc>
      </w:tr>
      <w:tr w:rsidR="00E379B0" w:rsidTr="00E379B0">
        <w:tc>
          <w:tcPr>
            <w:tcW w:w="3000" w:type="dxa"/>
          </w:tcPr>
          <w:p w:rsidR="00E379B0" w:rsidRPr="00E379B0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E379B0" w:rsidRPr="00E379B0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 объективных данных о рисках для здоровья потребителей, обсуждаемый нормативный правовой акт представляется избыточным. В целом наиболее эффективным средством улучшения здоровья детей является продвижение активного и здорового образа жизни и занятий спортом, улучшение социальной среды.</w:t>
            </w:r>
          </w:p>
        </w:tc>
        <w:tc>
          <w:tcPr>
            <w:tcW w:w="5894" w:type="dxa"/>
          </w:tcPr>
          <w:p w:rsidR="00E379B0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Tr="00E379B0">
        <w:tc>
          <w:tcPr>
            <w:tcW w:w="14992" w:type="dxa"/>
            <w:gridSpan w:val="3"/>
          </w:tcPr>
          <w:p w:rsidR="00E379B0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E379B0" w:rsidTr="00E379B0">
        <w:tc>
          <w:tcPr>
            <w:tcW w:w="3000" w:type="dxa"/>
          </w:tcPr>
          <w:p w:rsidR="00E379B0" w:rsidRPr="006F78AA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9B0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E379B0" w:rsidRPr="00E379B0" w:rsidRDefault="00252A9D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Законодательный акт распространяет свое действие на предприятия розничной торговли и общественного питания, в том числе субъектов малого и среднего бизнеса. Значительная часть оборота приходится на объекты нестационарной торговли – киоски и павильоны, традиционно являющиеся сферой деятельности малого бизнеса.</w:t>
            </w:r>
          </w:p>
        </w:tc>
        <w:tc>
          <w:tcPr>
            <w:tcW w:w="5894" w:type="dxa"/>
          </w:tcPr>
          <w:p w:rsidR="00E379B0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Tr="00252A9D">
        <w:tc>
          <w:tcPr>
            <w:tcW w:w="14992" w:type="dxa"/>
            <w:gridSpan w:val="3"/>
          </w:tcPr>
          <w:p w:rsidR="00252A9D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 xml:space="preserve">Повлияет ли введение предлагаемого регулирования на конкурентную среду в отрасли, будет ли способствовать необоснованному изменению </w:t>
            </w: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lastRenderedPageBreak/>
              <w:t>расстановки сил в отрасли? Если да, то как? Приведите, по возможности, количественные оценки.</w:t>
            </w:r>
          </w:p>
        </w:tc>
      </w:tr>
      <w:tr w:rsidR="00252A9D" w:rsidTr="00E379B0">
        <w:tc>
          <w:tcPr>
            <w:tcW w:w="3000" w:type="dxa"/>
          </w:tcPr>
          <w:p w:rsidR="00252A9D" w:rsidRPr="00E379B0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Рассматриваемый правовой акт содержит положения, необоснованно затрудняющие ведение предпринимательской и инвестиционной деятельности.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Ни в одном федеральном законе не предусмотрено каких-либо ограничений на производство и оборот безалкогольных тонизирующих напитков.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Таким образом, несмотря на полное соответствие выпускаемой продукции российскому законодательству, ее оборот ограничен решением субъекта федерации. Такой подход резко снижает инвестиционную привлекательность региона и подрывает основы ведения бизнеса в России.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Указанные ограничения и приравнивание безалкогольных тонизирующих напитков по статусу к алкогольным непременно повлечет за собой дезориентацию потребителя, разовьет ошибочное представление о безопасности их компонентов, что в итоге приведет к резкому снижению объемов продаж в торговых точках, вплоть до полного отказа предпринимателей от реализации указанной категории продукции.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Необходимо отметить, что применение ограничений при реализации безалкогольных тонизирующих напитков ведет к дискриминации в сравнении с такими продуктами, как кофе и чай, а также жевательной резинкой и БАД содержащими кофеин.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Tr="00252A9D">
        <w:tc>
          <w:tcPr>
            <w:tcW w:w="14992" w:type="dxa"/>
            <w:gridSpan w:val="3"/>
          </w:tcPr>
          <w:p w:rsidR="00252A9D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 Ханты-Мансийского автономного округа – Югры, насколько точно и недвусмысленно прописаны властные функции и полномочия?</w:t>
            </w:r>
          </w:p>
        </w:tc>
      </w:tr>
      <w:tr w:rsidR="00252A9D" w:rsidTr="00E379B0">
        <w:tc>
          <w:tcPr>
            <w:tcW w:w="3000" w:type="dxa"/>
          </w:tcPr>
          <w:p w:rsidR="00252A9D" w:rsidRPr="00252A9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Присутствуют трудности в исполнении нормативного правового акта, а также фактически отсутствует контроль за реализацией требований законодательного акта, нет методов и средств контроля, по факту единственным контролером является кассир осуществляющий отпуск товара покупателям. В связи с отсутствием прописанных конкретных мер и способов контроля может расти коррупционная составляющая.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Tr="00252A9D">
        <w:tc>
          <w:tcPr>
            <w:tcW w:w="14992" w:type="dxa"/>
            <w:gridSpan w:val="3"/>
          </w:tcPr>
          <w:p w:rsidR="00252A9D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2A9D" w:rsidTr="00E379B0">
        <w:tc>
          <w:tcPr>
            <w:tcW w:w="3000" w:type="dxa"/>
          </w:tcPr>
          <w:p w:rsidR="00252A9D" w:rsidRPr="00252A9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Рассматриваемый правовой акт содержит положения, необоснованно затрудняющие ведение предпринимательской и инвестиционной деятельности.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Ни в одном федеральном законе не предусмотрено каких-либо ограничений на производство и оборот безалкогольных тонизирующих напитков.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Таким образом, несмотря на полное соответствие выпускаемой продукции российскому законодательству, ее оборот ограничен решением субъекта федерации. Такой подход резко снижает инвестиционную привлекательность региона и подрывает основы ведения бизнеса в России.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Указанные ограничения и приравнивание безалкогольных тонизирующих напитков по статусу к алкогольным непременно повлечет за собой дезориентацию потребителя, разовьет ошибочное представление о безопасности их компонентов, что в итоге приведет к резкому снижению объемов продаж в торговых точках, вплоть до полного отказа предпринимателей от реализации указанной категории продукции.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Необходимо отметить, что применение ограничений при реализации безалкогольных тонизирующих напитков ведет к дискриминации в сравнении с такими продуктами, как кофе и чай, а также жевательной резинкой и БАД содержащими кофеин.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Введение ограничений субъектов предпринимательской деятельности и физических лиц в правах должно обосновываться научно установленными и подтвержденными данными об отрицательном и необратимом влиянии на здоровье людей напитков содержащих тонизирующие компоненты, что подтверждено письмом ФАС России (от 03.02.2020 №АД/677/20 на имя Президента СПБН Новикова М.Н.). По мнению ФАС России ограничение оборота не запрещенного товара на территории отдельного субъекта Российской Федерации может привести к ограничению конкуренции, а вопрос регулирования реализации безалкогольных тонизирующих напитков решать исключительно на федеральном уровне.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Tr="00252A9D">
        <w:tc>
          <w:tcPr>
            <w:tcW w:w="14992" w:type="dxa"/>
            <w:gridSpan w:val="3"/>
          </w:tcPr>
          <w:p w:rsidR="00252A9D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 - 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 - имеются ли технические ошибки; - 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 - 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 - 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 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 - 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252A9D" w:rsidTr="00E379B0">
        <w:tc>
          <w:tcPr>
            <w:tcW w:w="3000" w:type="dxa"/>
          </w:tcPr>
          <w:p w:rsidR="00252A9D" w:rsidRPr="002008D4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sz w:val="20"/>
                <w:szCs w:val="20"/>
              </w:rPr>
              <w:t xml:space="preserve">Новиков Максим Николаевич </w:t>
            </w:r>
            <w:r w:rsidRPr="00200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Рассматриваемый правовой акт содержит положения, </w:t>
            </w:r>
            <w:r w:rsidRPr="00252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необоснованно затрудняющие ведение предпринимательской и инвестиционной деятельности.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Ни в одном федеральном законе не предусмотрено каких-либо ограничений на производство и оборот безалкогольных тонизирующих напитков.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Таким образом, несмотря на полное соответствие выпускаемой продукции российскому законодательству, ее оборот ограничен решением субъекта федерации. Такой подход резко снижает инвестиционную привлекательность региона и подрывает основы ведения бизнеса в России.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Указанные ограничения и приравнивание безалкогольных тонизирующих напитков по статусу к алкогольным непременно повлечет за собой дезориентацию потребителя, разовьет ошибочное представление о безопасности их компонентов, что в итоге приведет к резкому снижению объемов продаж в торговых точках, вплоть до полного отказа предпринимателей от реализации указанной категории продукции.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Необходимо отметить, что применение ограничений при реализации безалкогольных тонизирующих напитков ведет к дискриминации в сравнении с такими продуктами, как кофе и чай, а также жевательной резинкой и БАД содержащими кофеин.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Введение ограничений субъектов предпринимательской деятельности и физических лиц в правах должно обосновываться научно установленными и подтвержденными данными об отрицательном и необратимом влиянии на здоровье людей напитков содержащих тонизирующие компоненты. Ограничение оборота не запрещенного товара на территории отдельного субъекта Российской Федерации может привести к ограничению конкуренции, а вопрос регулирования реализации безалкогольных тонизирующих напитков решать исключительно на федеральном уровне.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Tr="00252A9D">
        <w:tc>
          <w:tcPr>
            <w:tcW w:w="14992" w:type="dxa"/>
            <w:gridSpan w:val="3"/>
          </w:tcPr>
          <w:p w:rsidR="00252A9D" w:rsidRPr="002008D4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252A9D" w:rsidTr="00E379B0">
        <w:tc>
          <w:tcPr>
            <w:tcW w:w="3000" w:type="dxa"/>
          </w:tcPr>
          <w:p w:rsidR="00252A9D" w:rsidRPr="00252A9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данного законодательного акта ведет к существенному снижению оборота предприятий розничной торговли и общественного питания, в том числе субъектов малого и среднего бизнеса. Значительная часть оборота приходится на объекты нестационарной торговли – киоски и павильоны, традиционно являющиеся сферой деятельности малого бизнеса. Доля товарооборота, приходящаяся на безалкогольные напитки, в </w:t>
            </w:r>
            <w:proofErr w:type="spellStart"/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252A9D">
              <w:rPr>
                <w:rFonts w:ascii="Times New Roman" w:hAnsi="Times New Roman" w:cs="Times New Roman"/>
                <w:sz w:val="20"/>
                <w:szCs w:val="20"/>
              </w:rPr>
              <w:t xml:space="preserve">. тонизирующие, в теплое время года в объектах нестационарной </w:t>
            </w:r>
            <w:r w:rsidRPr="00252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торговли составляет от 40 % до 60 %.</w:t>
            </w:r>
          </w:p>
          <w:p w:rsidR="00252A9D" w:rsidRPr="00252A9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A9D">
              <w:rPr>
                <w:rFonts w:ascii="Times New Roman" w:hAnsi="Times New Roman" w:cs="Times New Roman"/>
                <w:sz w:val="20"/>
                <w:szCs w:val="20"/>
              </w:rPr>
              <w:t>Запрет или ограничения реализации БТН негативно сказывается на производителях, вызывает падение общего товарооборота и налоговой базы региона, и, следовательно, сокращает финансовую базу для выполнения местных социальных программ (зарплата учителей, врачей, работников культуры и т.д.)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Tr="005A2ADF">
        <w:tc>
          <w:tcPr>
            <w:tcW w:w="14992" w:type="dxa"/>
            <w:gridSpan w:val="3"/>
          </w:tcPr>
          <w:p w:rsidR="005A2ADF" w:rsidRPr="002008D4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Оцените издержки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Ханты-Мансийского автономного округа – Югры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252A9D" w:rsidTr="00E379B0">
        <w:tc>
          <w:tcPr>
            <w:tcW w:w="3000" w:type="dxa"/>
          </w:tcPr>
          <w:p w:rsidR="00252A9D" w:rsidRPr="00252A9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5A2ADF" w:rsidRPr="005A2ADF" w:rsidRDefault="005A2AD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ADF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данного законодательного акта ведет к существенному снижению оборота предприятий розничной торговли и общественного питания, в том числе субъектов малого и среднего бизнеса. Значительная часть оборота приходится на объекты нестационарной торговли – киоски и павильоны, традиционно являющиеся сферой деятельности малого бизнеса. Доля товарооборота, приходящаяся на безалкогольные напитки, в </w:t>
            </w:r>
            <w:proofErr w:type="spellStart"/>
            <w:r w:rsidRPr="005A2ADF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A2ADF">
              <w:rPr>
                <w:rFonts w:ascii="Times New Roman" w:hAnsi="Times New Roman" w:cs="Times New Roman"/>
                <w:sz w:val="20"/>
                <w:szCs w:val="20"/>
              </w:rPr>
              <w:t>. тонизирующие, в теплое время года в объектах нестационарной торговли составляет от 40 % до 60 %.</w:t>
            </w:r>
          </w:p>
          <w:p w:rsidR="00252A9D" w:rsidRPr="00252A9D" w:rsidRDefault="005A2AD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ADF">
              <w:rPr>
                <w:rFonts w:ascii="Times New Roman" w:hAnsi="Times New Roman" w:cs="Times New Roman"/>
                <w:sz w:val="20"/>
                <w:szCs w:val="20"/>
              </w:rPr>
              <w:t>Запрет или ограничения реализации БТН негативно сказывается на производителях, вызывает падение общего товарооборота и налоговой базы региона, и, следовательно, сокращает финансовую базу для выполнения местных социальных программ (зарплата учителей, врачей, работников культуры и т.д.)</w:t>
            </w:r>
          </w:p>
        </w:tc>
        <w:tc>
          <w:tcPr>
            <w:tcW w:w="5894" w:type="dxa"/>
          </w:tcPr>
          <w:p w:rsidR="00252A9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Tr="005A2ADF">
        <w:tc>
          <w:tcPr>
            <w:tcW w:w="14992" w:type="dxa"/>
            <w:gridSpan w:val="3"/>
          </w:tcPr>
          <w:p w:rsidR="005A2ADF" w:rsidRPr="002008D4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Какие, на Ваш взгляд, могут возникнуть проблемы и трудности с контролем соблюдения требований и норм, вводимых проектом нормативного правового акта?</w:t>
            </w:r>
          </w:p>
        </w:tc>
      </w:tr>
      <w:tr w:rsidR="005A2ADF" w:rsidTr="00E379B0">
        <w:tc>
          <w:tcPr>
            <w:tcW w:w="3000" w:type="dxa"/>
          </w:tcPr>
          <w:p w:rsidR="005A2ADF" w:rsidRPr="00252A9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5A2ADF" w:rsidRPr="005A2ADF" w:rsidRDefault="005A2AD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ADF">
              <w:rPr>
                <w:rFonts w:ascii="Times New Roman" w:hAnsi="Times New Roman" w:cs="Times New Roman"/>
                <w:sz w:val="20"/>
                <w:szCs w:val="20"/>
              </w:rPr>
              <w:t>Присутствуют трудности в исполнении требований нормативного правового акта, а также фактического отсутствия контроля за реализацией требований законодательного акта, нет методов и средств контроля, по факту единственным контролером является кассир осуществляющий отпуск товара покупателям. В связи с отсутствием прописанных конкретных мер и способов контроля может расти коррупционная составляющая.</w:t>
            </w:r>
          </w:p>
        </w:tc>
        <w:tc>
          <w:tcPr>
            <w:tcW w:w="5894" w:type="dxa"/>
          </w:tcPr>
          <w:p w:rsidR="005A2ADF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E379B0">
        <w:tc>
          <w:tcPr>
            <w:tcW w:w="3000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Ангел Татьяна </w:t>
            </w:r>
          </w:p>
          <w:p w:rsidR="00D2401F" w:rsidRPr="00D2401F" w:rsidRDefault="00200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angelts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hmrn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98" w:type="dxa"/>
          </w:tcPr>
          <w:p w:rsidR="00D2401F" w:rsidRPr="005A2AD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На мой взгляд могут возникнуть проблемы скрытой продажи напитков несовершеннолетним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E379B0">
        <w:tc>
          <w:tcPr>
            <w:tcW w:w="3000" w:type="dxa"/>
          </w:tcPr>
          <w:p w:rsidR="00D2401F" w:rsidRP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Алешина Оксана</w:t>
            </w:r>
          </w:p>
          <w:p w:rsidR="00D2401F" w:rsidRPr="006F78AA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Oksana</w:t>
            </w:r>
            <w:r w:rsidRPr="006F78A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aleshina</w:t>
            </w:r>
            <w:proofErr w:type="spellEnd"/>
            <w:r w:rsidRPr="006F78AA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6F78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6098" w:type="dxa"/>
          </w:tcPr>
          <w:p w:rsidR="00D2401F" w:rsidRPr="00D2401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 xml:space="preserve">такие </w:t>
            </w:r>
            <w:proofErr w:type="gramStart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 xml:space="preserve"> как и при продаже спиртных напитков несовершеннолетним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E379B0">
        <w:tc>
          <w:tcPr>
            <w:tcW w:w="3000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Даниленко Лариса</w:t>
            </w:r>
          </w:p>
          <w:p w:rsidR="00D2401F" w:rsidRP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danilenkoLU</w:t>
            </w:r>
            <w:proofErr w:type="spell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oktregion</w:t>
            </w:r>
            <w:proofErr w:type="spell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6098" w:type="dxa"/>
          </w:tcPr>
          <w:p w:rsidR="00D2401F" w:rsidRPr="00D2401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проблемы и трудности с контролем соблюдения требований и норм, вводимых проектом нормативного правового акта аналогичны контролю продажи несовершеннолетним спиртосодержащей продукции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E379B0">
        <w:tc>
          <w:tcPr>
            <w:tcW w:w="3000" w:type="dxa"/>
          </w:tcPr>
          <w:p w:rsidR="00D2401F" w:rsidRPr="00D2401F" w:rsidRDefault="00200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Shasha</w:t>
              </w:r>
              <w:r w:rsidR="00D2401F" w:rsidRPr="00D240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91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korablev</w:t>
              </w:r>
              <w:r w:rsidR="00D2401F" w:rsidRPr="00D240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D2401F" w:rsidRPr="00D240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2401F" w:rsidRP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 Кораблев</w:t>
            </w:r>
          </w:p>
        </w:tc>
        <w:tc>
          <w:tcPr>
            <w:tcW w:w="6098" w:type="dxa"/>
          </w:tcPr>
          <w:p w:rsidR="00D2401F" w:rsidRPr="00D2401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Недобросовестность продавцов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Tr="005A2ADF">
        <w:tc>
          <w:tcPr>
            <w:tcW w:w="14992" w:type="dxa"/>
            <w:gridSpan w:val="3"/>
          </w:tcPr>
          <w:p w:rsidR="005A2ADF" w:rsidRPr="002008D4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5A2ADF" w:rsidTr="00E379B0">
        <w:tc>
          <w:tcPr>
            <w:tcW w:w="3000" w:type="dxa"/>
          </w:tcPr>
          <w:p w:rsid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Ангел Татьяна </w:t>
            </w:r>
          </w:p>
          <w:p w:rsidR="005A2ADF" w:rsidRPr="00252A9D" w:rsidRDefault="002008D4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angelts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hmrn</w:t>
              </w:r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2401F" w:rsidRPr="00F16AA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98" w:type="dxa"/>
          </w:tcPr>
          <w:p w:rsidR="005A2ADF" w:rsidRPr="005A2AD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Считаю, что переходный период требуется, но не более 3-х месяцев.</w:t>
            </w:r>
          </w:p>
        </w:tc>
        <w:tc>
          <w:tcPr>
            <w:tcW w:w="5894" w:type="dxa"/>
          </w:tcPr>
          <w:p w:rsidR="005A2ADF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Tr="00E379B0">
        <w:tc>
          <w:tcPr>
            <w:tcW w:w="3000" w:type="dxa"/>
          </w:tcPr>
          <w:p w:rsidR="005A2AD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Кобенко Виталий</w:t>
            </w:r>
          </w:p>
          <w:p w:rsidR="00D2401F" w:rsidRP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kobenkov</w:t>
            </w:r>
            <w:proofErr w:type="spell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lgfortuna</w:t>
            </w:r>
            <w:proofErr w:type="spell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6098" w:type="dxa"/>
          </w:tcPr>
          <w:p w:rsidR="005A2ADF" w:rsidRPr="005A2ADF" w:rsidRDefault="00D2401F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Переходный период не более 3-х месяцев.</w:t>
            </w:r>
          </w:p>
        </w:tc>
        <w:tc>
          <w:tcPr>
            <w:tcW w:w="5894" w:type="dxa"/>
          </w:tcPr>
          <w:p w:rsidR="005A2ADF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D2401F">
        <w:tc>
          <w:tcPr>
            <w:tcW w:w="14992" w:type="dxa"/>
            <w:gridSpan w:val="3"/>
          </w:tcPr>
          <w:p w:rsidR="00D2401F" w:rsidRPr="002008D4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2008D4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Иные предложения и замечания, которые, по Вашему мнению, целесообразно учесть в рамках оценки регулирующего воздействия</w:t>
            </w:r>
            <w:bookmarkEnd w:id="0"/>
          </w:p>
        </w:tc>
      </w:tr>
      <w:tr w:rsidR="00D2401F" w:rsidTr="00E379B0">
        <w:tc>
          <w:tcPr>
            <w:tcW w:w="3000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Новиков Максим Николаевич Союз производителей соков, воды и напитков (СОЮЗНАПИТКИ) (sycheva.souznapitki@gmail.com</w:t>
            </w:r>
          </w:p>
        </w:tc>
        <w:tc>
          <w:tcPr>
            <w:tcW w:w="6098" w:type="dxa"/>
          </w:tcPr>
          <w:p w:rsidR="00D2401F" w:rsidRP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Предлагаем не вводить ограничения в реализации БТН на территории ХМАО, ввиду отсутствия вреда здоровью, достаточности действующего регулирования и обязательных требований к обороту безалкогольных тонизирующих напитков.</w:t>
            </w:r>
          </w:p>
          <w:p w:rsidR="00D2401F" w:rsidRP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 xml:space="preserve">В 2019 году члены союза подписали Кодекс добровольных обязательств производителей безалкогольных напитков нацеленный на продвижение ответственного потребления, выработки единообразных требований к составу, маркировке и маркетингу безалкогольных напитков, более строгих по сравнению с требованиями в нормативно-правовых актах принятых на территории Российской </w:t>
            </w:r>
            <w:proofErr w:type="gramStart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Федерации.,</w:t>
            </w:r>
            <w:proofErr w:type="gramEnd"/>
            <w:r w:rsidRPr="00D2401F">
              <w:rPr>
                <w:rFonts w:ascii="Times New Roman" w:hAnsi="Times New Roman" w:cs="Times New Roman"/>
                <w:sz w:val="20"/>
                <w:szCs w:val="20"/>
              </w:rPr>
              <w:t xml:space="preserve"> а также 11 июня 2021г. членами СОЮЗНАПИТКИ подписан Кодекс ответственного производителя безалкогольных тонизирующих напитков. Эти шаги направлены на развитие культуры рационального потребления и информирования населения о составе и свойствах напитков.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Tr="00E379B0">
        <w:tc>
          <w:tcPr>
            <w:tcW w:w="3000" w:type="dxa"/>
          </w:tcPr>
          <w:p w:rsidR="00D2401F" w:rsidRP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 xml:space="preserve">Ангел Татьяна </w:t>
            </w:r>
          </w:p>
          <w:p w:rsid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angelts@hmrn.ru</w:t>
            </w:r>
          </w:p>
        </w:tc>
        <w:tc>
          <w:tcPr>
            <w:tcW w:w="6098" w:type="dxa"/>
          </w:tcPr>
          <w:p w:rsidR="00D2401F" w:rsidRPr="00D2401F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01F">
              <w:rPr>
                <w:rFonts w:ascii="Times New Roman" w:hAnsi="Times New Roman" w:cs="Times New Roman"/>
                <w:sz w:val="20"/>
                <w:szCs w:val="20"/>
              </w:rPr>
              <w:t>В случае введения ограничения продажи несовершеннолетним энергетиков, необходимо осуществлять контроль (проводить контрольные закупки) соблюдения торговыми точками данных ограничений. Закон не должен остаться только на бумаге.</w:t>
            </w:r>
          </w:p>
        </w:tc>
        <w:tc>
          <w:tcPr>
            <w:tcW w:w="5894" w:type="dxa"/>
          </w:tcPr>
          <w:p w:rsidR="00D2401F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9A" w:rsidRPr="0039669A" w:rsidRDefault="0039669A" w:rsidP="006F78AA">
      <w:pPr>
        <w:rPr>
          <w:rFonts w:ascii="Times New Roman" w:hAnsi="Times New Roman" w:cs="Times New Roman"/>
          <w:sz w:val="20"/>
          <w:szCs w:val="20"/>
        </w:rPr>
      </w:pPr>
    </w:p>
    <w:sectPr w:rsidR="0039669A" w:rsidRPr="0039669A" w:rsidSect="006F78A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06"/>
    <w:rsid w:val="002008D4"/>
    <w:rsid w:val="00252A9D"/>
    <w:rsid w:val="00260006"/>
    <w:rsid w:val="0039669A"/>
    <w:rsid w:val="003B51F4"/>
    <w:rsid w:val="005A2ADF"/>
    <w:rsid w:val="006B2F2D"/>
    <w:rsid w:val="006F78AA"/>
    <w:rsid w:val="00D2401F"/>
    <w:rsid w:val="00E3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E4596-34D7-4C7E-A94F-3D38CD23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401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0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gelts@hmrn.ru" TargetMode="External"/><Relationship Id="rId5" Type="http://schemas.openxmlformats.org/officeDocument/2006/relationships/hyperlink" Target="mailto:Shasha91korablev@mail.ru" TargetMode="External"/><Relationship Id="rId4" Type="http://schemas.openxmlformats.org/officeDocument/2006/relationships/hyperlink" Target="mailto:angelts@hm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Белозерцева Татьяна Сергеевна</dc:creator>
  <cp:keywords/>
  <dc:description/>
  <cp:lastModifiedBy>Пушкарёва Татьяна Евгеньевна</cp:lastModifiedBy>
  <cp:revision>2</cp:revision>
  <cp:lastPrinted>2022-03-30T07:35:00Z</cp:lastPrinted>
  <dcterms:created xsi:type="dcterms:W3CDTF">2022-03-30T07:36:00Z</dcterms:created>
  <dcterms:modified xsi:type="dcterms:W3CDTF">2022-03-30T07:36:00Z</dcterms:modified>
</cp:coreProperties>
</file>